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F800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bookmarkStart w:id="0" w:name="malama"/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Яков Дмитриевич </w:t>
      </w:r>
      <w:proofErr w:type="spellStart"/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bookmarkEnd w:id="0"/>
      <w:proofErr w:type="spellEnd"/>
    </w:p>
    <w:p w14:paraId="75F50CE3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54FC4817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(1841–1912)</w:t>
      </w:r>
    </w:p>
    <w:p w14:paraId="6D667C49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A83BDE" w:rsidRPr="00A83BDE" w14:paraId="10115E7A" w14:textId="77777777" w:rsidTr="00A83B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BAE5DF" w14:textId="77777777" w:rsidR="00A83BDE" w:rsidRPr="00A83BDE" w:rsidRDefault="00A83BDE" w:rsidP="00A83BD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A83BDE">
              <w:rPr>
                <w:rFonts w:ascii="inherit" w:eastAsia="Times New Roman" w:hAnsi="inherit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E14A214" wp14:editId="189A90B7">
                  <wp:extent cx="1901825" cy="2543810"/>
                  <wp:effectExtent l="0" t="0" r="3175" b="8890"/>
                  <wp:docPr id="2" name="Рисунок 2" descr="ma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622639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2160F927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Яков Дмитриевич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потомственный дворянин Полтавской губернии, родился 4 ноября 1841 года. После окончания кадетского корпуса в городе Полтаве и Санкт-Петербургского Константиновского военного училища он поступил в гусарский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Лубенский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полк. Затем, как способный офицер, Яков Дмитриевич был направлен в Николаевскую Академию Генерального Штаба, по окончании которой отбыл на Кавказ. В 1869 году назначенный начальником Штаба Осадного корпуса, принял непосредственное участие в штурме турецкой крепости Карс. Но особую храбрость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проявил в бою между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Вазарджихскими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и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Шатырь-Оглинскими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высотами, за что </w:t>
      </w:r>
      <w:proofErr w:type="gram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был Высочайше</w:t>
      </w:r>
      <w:proofErr w:type="gram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пожалован орденом Святого Георгия 4-ой степени. На протяжении нескольких лет Яков Дмитриевич отважно воевал с турками и был награждён золотым оружием и ещё двумя орденами: Св. Анны 2-ой степени и Св. Владимира 3-й степени.</w:t>
      </w:r>
    </w:p>
    <w:p w14:paraId="20431999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4939C08C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марте 1885 года его назначают начальником штаба Кубанского казачьего войска, а с 21 февраля 1892 года утверждают наказным атаманом. С этого момента разворачивается административный талант Я. Д.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Маламы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проявляются его лучшие человеческие качества. Находясь на новой должности, Яков Дмитриевич, сразу же принялся за неотложные дела по войску. Он отправился в нагорные станицы, в которых проживали русские переселенцы. В жару 1893 года он объехал всю округу, помогая станичникам советом и делом улучшить их экономическое положение.</w:t>
      </w:r>
    </w:p>
    <w:p w14:paraId="479C9D04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5E407A58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Особую похвалу Я. Д.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Маламы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заслужили станичные учителя. " С удовлетворением отмечаю, – писал он, – плодотворную деятельность учителей народных школ по распространению грамотности, садоводства, пчеловодства и огородничества". И всё-таки, проверяя станицы, он видел, что местному населению явно не хватает образования. Я. Д.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старался продолжить дело, начатое его предшественником наказным атаманом Н. Н.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Кармалиным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который способствовал открытию школ на Кубани.</w:t>
      </w:r>
    </w:p>
    <w:p w14:paraId="6AA25E47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7207C19A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Я. Д.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заботился не только о благополучии казачьего населения. Он обратился с добрым воззванием к горцам, призывая покончить с вековыми предрассудками – молодечеством и набегами. В аулах начали открываться школы, в которых детей обучали русскому языку.</w:t>
      </w:r>
    </w:p>
    <w:p w14:paraId="2E9B1BCB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0F86157D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Наказной атаман не различал национальной принадлежности. В одинаковой мере интересовался как жизнью казаков, так и жизнью иногородних. И к нему, как к своему батьке родному, обращались и казаки, и адыги со своими прошениями.</w:t>
      </w:r>
    </w:p>
    <w:p w14:paraId="25F30E9D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78846B55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Яков Дмитриевич всегда ценил трудолюбивых, инициативных людей. Обладая природным даром руководителя, он смог окружить себя деятельными, энергичными и честными людьми, с которыми он управлял краем, повышая благосостояние кубанцев. На Кубани в его правление были построены десятки церквей, народных училищ, станичных правлений. В Екатеринодаре заложен памятник Екатерине II, возведены Дворец Атамана, Обелиск в честь 200-летнего юбилея Кубанского </w:t>
      </w: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казачьего войска. Возникли различные благотворительные, общественные, культурные организации.</w:t>
      </w:r>
    </w:p>
    <w:p w14:paraId="0B1694F7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7C5D8F95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Заботами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Маламы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были изданы фундаментальные труды по истории Кубанского казачества – четыре огромных тома исторических документов, составленные местным историком И. И. Дмитренко, 14 выпусков "Песен кубанских казаков", подготовленные к печати А. Д.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Бигдаем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2C5A4EC0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1F8BECE6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1904 году он переезжает в Тифлис к месту нового назначения. Здесь он занимает пост помощника Главнокомандующего гражданской частью на Кавказе и Командующего войсками Кавказского военного округа. Через год он получил ещё более авторитетное назначение – пост помощника Наместника Его Величества на Кавказе. Через год переведён в Петербург в качестве члена Военного Совета.</w:t>
      </w:r>
    </w:p>
    <w:p w14:paraId="560C0287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25C9E01E" w14:textId="77777777" w:rsidR="00A83BDE" w:rsidRPr="00A83BDE" w:rsidRDefault="00A83BDE" w:rsidP="00A83B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Скончался Яков Дмитриевич </w:t>
      </w:r>
      <w:proofErr w:type="spellStart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Малама</w:t>
      </w:r>
      <w:proofErr w:type="spellEnd"/>
      <w:r w:rsidRPr="00A83BD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Санкт-Петербурге 24 декабря 1912 года. "Справедливо будет сказать, – писали "Кубанские областные ведомости", – что ушёл из жизни видный государственный деятель России; честный и высокоразвитый, с достоинством носивший высокую власть, доверенную ему Государем, которой он пользовался только для блага Родины и того населения, которому он служил... Такие имена не забываются в Отечестве..."</w:t>
      </w:r>
    </w:p>
    <w:p w14:paraId="4CA7A807" w14:textId="77777777" w:rsidR="00A83BDE" w:rsidRPr="00A83BDE" w:rsidRDefault="00A83BDE" w:rsidP="00A83B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A83BD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14:paraId="351CA96E" w14:textId="77777777" w:rsidR="003364A7" w:rsidRDefault="003364A7" w:rsidP="003364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  <w:sz w:val="20"/>
          <w:szCs w:val="20"/>
        </w:rPr>
      </w:pPr>
      <w:bookmarkStart w:id="1" w:name="babich"/>
      <w:r>
        <w:rPr>
          <w:rStyle w:val="a4"/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bookmarkEnd w:id="1"/>
      <w:r>
        <w:rPr>
          <w:rStyle w:val="a4"/>
          <w:rFonts w:ascii="Helvetica" w:hAnsi="Helvetica"/>
          <w:color w:val="000000"/>
          <w:sz w:val="20"/>
          <w:szCs w:val="20"/>
        </w:rPr>
        <w:t xml:space="preserve">Михаил Павлович </w:t>
      </w:r>
      <w:proofErr w:type="spellStart"/>
      <w:r>
        <w:rPr>
          <w:rStyle w:val="a4"/>
          <w:rFonts w:ascii="Helvetica" w:hAnsi="Helvetica"/>
          <w:color w:val="000000"/>
          <w:sz w:val="20"/>
          <w:szCs w:val="20"/>
        </w:rPr>
        <w:t>Бабыч</w:t>
      </w:r>
      <w:proofErr w:type="spellEnd"/>
    </w:p>
    <w:p w14:paraId="279CA5D3" w14:textId="77777777" w:rsidR="003364A7" w:rsidRDefault="003364A7" w:rsidP="003364A7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bCs/>
          <w:noProof/>
          <w:color w:val="000000"/>
          <w:sz w:val="20"/>
          <w:szCs w:val="20"/>
        </w:rPr>
        <w:drawing>
          <wp:inline distT="0" distB="0" distL="0" distR="0" wp14:anchorId="6C9F512F" wp14:editId="36FA6060">
            <wp:extent cx="2860040" cy="3696335"/>
            <wp:effectExtent l="0" t="0" r="0" b="0"/>
            <wp:docPr id="4" name="Рисунок 4" descr="bab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575C" w14:textId="77777777" w:rsidR="003364A7" w:rsidRDefault="003364A7" w:rsidP="003364A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Михаил Павлович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сын одного из доблестных офицеров-покорителей Западного Кавказа – Павла Денисовича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о подвигах и славе которого, народ слагал песни. Все отцовские качества дарованы Михаилу, родившемуся 22 июля 1844 года в родовом </w:t>
      </w:r>
      <w:proofErr w:type="spellStart"/>
      <w:r>
        <w:rPr>
          <w:rFonts w:ascii="Helvetica" w:hAnsi="Helvetica"/>
          <w:color w:val="000000"/>
          <w:sz w:val="20"/>
          <w:szCs w:val="20"/>
        </w:rPr>
        <w:t>екатеринодарском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доме по улице </w:t>
      </w:r>
      <w:proofErr w:type="spellStart"/>
      <w:r>
        <w:rPr>
          <w:rFonts w:ascii="Helvetica" w:hAnsi="Helvetica"/>
          <w:color w:val="000000"/>
          <w:sz w:val="20"/>
          <w:szCs w:val="20"/>
        </w:rPr>
        <w:t>Бурсаковской</w:t>
      </w:r>
      <w:proofErr w:type="spellEnd"/>
      <w:r>
        <w:rPr>
          <w:rFonts w:ascii="Helvetica" w:hAnsi="Helvetica"/>
          <w:color w:val="000000"/>
          <w:sz w:val="20"/>
          <w:szCs w:val="20"/>
        </w:rPr>
        <w:t>, 1 (угол Крепостной). С самого раннего возраста мальчика готовили к военной службе.</w:t>
      </w:r>
    </w:p>
    <w:p w14:paraId="6C2E37BD" w14:textId="77777777" w:rsidR="003364A7" w:rsidRDefault="003364A7" w:rsidP="003364A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После успешного окончания Михайловского Воронежского кадетского корпуса и Кавказской учебной роты юный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стал постепенно продвигаться по военной служебной лестнице и получать боевые ордена. В 1889 году он уже был полковником. 3 февраля 1908 года вышел указ о назначении его уже в чине генерал-лейтенанта наказным атаманом Кубанского казачьего войска. Жесткой рукой и суровыми мерами он наводит порядок в Екатеринодаре, где в то время свирепствуют террористы-революционеры. Под постоянной угрозой смерти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исполнял свой ответственный долг и укреплял на Кубани экономику и нравственность. За короткий срок им много было сделано общекультурных, добрых дел. Казаки называли атамана «</w:t>
      </w:r>
      <w:proofErr w:type="spellStart"/>
      <w:r>
        <w:rPr>
          <w:rFonts w:ascii="Helvetica" w:hAnsi="Helvetica"/>
          <w:color w:val="000000"/>
          <w:sz w:val="20"/>
          <w:szCs w:val="20"/>
        </w:rPr>
        <w:t>ридный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Батько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», так как каждый казак лично на себе ощущал его заботу, его радение. Общекультурную деятельность М.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Бабыча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ценило не только русское население. Его глубоко уважали и другие народности, жившие на Кубани. Только </w:t>
      </w:r>
      <w:r>
        <w:rPr>
          <w:rFonts w:ascii="Helvetica" w:hAnsi="Helvetica"/>
          <w:color w:val="000000"/>
          <w:sz w:val="20"/>
          <w:szCs w:val="20"/>
        </w:rPr>
        <w:lastRenderedPageBreak/>
        <w:t>благодаря его заботам и стараниям было начато строительство Черноморско-Кубанской железной дороги, начато наступление на кубанские плавни.</w:t>
      </w:r>
    </w:p>
    <w:p w14:paraId="441D4D43" w14:textId="77777777" w:rsidR="003364A7" w:rsidRDefault="003364A7" w:rsidP="003364A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16 марта 1917 года официальная газета в последний раз сообщила о бывшем Наказном атамане Михаиле Павловиче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Бабыче</w:t>
      </w:r>
      <w:proofErr w:type="spellEnd"/>
      <w:r>
        <w:rPr>
          <w:rFonts w:ascii="Helvetica" w:hAnsi="Helvetica"/>
          <w:color w:val="000000"/>
          <w:sz w:val="20"/>
          <w:szCs w:val="20"/>
        </w:rPr>
        <w:t>. В августе 1918 года он был зверски убит большевиками в Пятигорске. Тело многострадального генерала погребено в усыпальнице Екатерининского собора.</w:t>
      </w:r>
    </w:p>
    <w:p w14:paraId="3329EA11" w14:textId="77777777" w:rsidR="003364A7" w:rsidRDefault="003364A7" w:rsidP="003364A7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Память о большом патриоте и радетеле Кубанской земли М П. </w:t>
      </w:r>
      <w:proofErr w:type="spellStart"/>
      <w:r>
        <w:rPr>
          <w:rFonts w:ascii="Helvetica" w:hAnsi="Helvetica"/>
          <w:color w:val="000000"/>
          <w:sz w:val="20"/>
          <w:szCs w:val="20"/>
        </w:rPr>
        <w:t>Бабыче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– последнем Наказном атамане, жива в сердцах русского народа. 4 августа 1994 года на том месте, где стоял родовой дом Атамана, фондом культуры Кубанского казачества открыта мемориальная доска (работа А. </w:t>
      </w:r>
      <w:proofErr w:type="spellStart"/>
      <w:r>
        <w:rPr>
          <w:rFonts w:ascii="Helvetica" w:hAnsi="Helvetica"/>
          <w:color w:val="000000"/>
          <w:sz w:val="20"/>
          <w:szCs w:val="20"/>
        </w:rPr>
        <w:t>Аполлонова</w:t>
      </w:r>
      <w:proofErr w:type="spellEnd"/>
      <w:r>
        <w:rPr>
          <w:rFonts w:ascii="Helvetica" w:hAnsi="Helvetica"/>
          <w:color w:val="000000"/>
          <w:sz w:val="20"/>
          <w:szCs w:val="20"/>
        </w:rPr>
        <w:t>), увековечившая его память.</w:t>
      </w:r>
    </w:p>
    <w:p w14:paraId="767F7BEA" w14:textId="77777777" w:rsidR="000078BF" w:rsidRDefault="000078BF">
      <w:bookmarkStart w:id="2" w:name="_GoBack"/>
      <w:bookmarkEnd w:id="2"/>
    </w:p>
    <w:sectPr w:rsidR="000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31"/>
    <w:rsid w:val="000078BF"/>
    <w:rsid w:val="003364A7"/>
    <w:rsid w:val="00A83BDE"/>
    <w:rsid w:val="00C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7FD6"/>
  <w15:chartTrackingRefBased/>
  <w15:docId w15:val="{72F80D41-7DAD-4D96-A053-9E6CA396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3</cp:revision>
  <dcterms:created xsi:type="dcterms:W3CDTF">2020-12-17T18:42:00Z</dcterms:created>
  <dcterms:modified xsi:type="dcterms:W3CDTF">2020-12-17T18:44:00Z</dcterms:modified>
</cp:coreProperties>
</file>