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34530" w14:textId="56219918" w:rsidR="000D2D88" w:rsidRPr="000D2D88" w:rsidRDefault="000D2D88" w:rsidP="000D2D8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2D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прошлом, настоящем и будущем кубанского казачества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bookmarkStart w:id="0" w:name="_GoBack"/>
      <w:bookmarkEnd w:id="0"/>
      <w:r w:rsidRPr="000D2D88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  <w:br/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Конференция, проведенная в Кавказском отделе 28 сентября, полностью соответствовала статусу научно-практической. Более 160 представителей от 10 районов Краснодарского края собрались, чтобы отметить знаменательную историческую дату – 150-летие образования Кубанского казачьего войска. В составе делегаций наряду с атаманами и казаками РКО присутствовали руководители управлений и отделов образования, преподаватели и наставники в классах казачьей направленности, педагоги и офицеры-воспитатели кадетского корпуса, ученые-краеведы, историки, музейные и библиотечные работники, организаторы творческих кружков. Три телевизионных компании и представители пяти районных СМИ освещали столь презентабельное мероприятие. Удачным стало решение в рамках конференции совместить экскурсию по Кропоткинскому краеведческому музею с докладами о прошлом, настоящем и перспективами Кубанского войска. Председательствовал в заседании атаман Кавказского отдела, казачий полковник Владимир Еримицкий, он же, как председатель Думы Кавказского района, радушно приветствовал участников конференции. В работе симпозиума приняли участие заместитель войскового атамана Константин Перенижко и 1-й заместитель директора департамента по делам казачества Александр Марченко.</w:t>
      </w:r>
    </w:p>
    <w:p w14:paraId="5F620798" w14:textId="77777777" w:rsidR="000D2D88" w:rsidRPr="000D2D88" w:rsidRDefault="000D2D88" w:rsidP="000D2D88">
      <w:pPr>
        <w:spacing w:before="100" w:beforeAutospacing="1" w:after="10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proofErr w:type="gramStart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Открывал  конференцию</w:t>
      </w:r>
      <w:proofErr w:type="gramEnd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 xml:space="preserve"> доклад Владимира Еримицкого об основных вехах становления Кубанского казачьего войска за минувшие 150 лет. Он также отметил, что интерес к истории Кубани возрастает по мере того, как ширится возрождение казачества, и сегодня становится актуальным сохранение исторических, культурных и духовных традиций кубанского казачества.</w:t>
      </w:r>
    </w:p>
    <w:p w14:paraId="4ECA4528" w14:textId="77777777" w:rsidR="000D2D88" w:rsidRPr="000D2D88" w:rsidRDefault="000D2D88" w:rsidP="000D2D88">
      <w:pPr>
        <w:spacing w:before="100" w:beforeAutospacing="1" w:after="10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 xml:space="preserve">Эта мысль получила развитие в докладе директора музея Натальи Левченко. Казачьим традициям и заповедям, воспитанию детей в казачьей семье на основе православия был посвящен ее доклад. Основной тезис ее </w:t>
      </w:r>
      <w:proofErr w:type="gramStart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выступления :</w:t>
      </w:r>
      <w:proofErr w:type="gramEnd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«именно на здоровых и крепких казачьих традициях можно построить и сформировать достойное современное общество», получил  одобрение присутствующих.</w:t>
      </w:r>
    </w:p>
    <w:p w14:paraId="40CC01CC" w14:textId="77777777" w:rsidR="000D2D88" w:rsidRPr="000D2D88" w:rsidRDefault="000D2D88" w:rsidP="000D2D88">
      <w:pPr>
        <w:spacing w:before="100" w:beforeAutospacing="1" w:after="10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 xml:space="preserve">Воспитанию гражданственности и любви к Родине, формированию мировоззренческой, нравственной и физической куль¬туры у казачьей </w:t>
      </w:r>
      <w:proofErr w:type="gramStart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молодежи  было</w:t>
      </w:r>
      <w:proofErr w:type="gramEnd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 xml:space="preserve"> посвящено выступление Любови Рябцевой - зам.директора Кропоткинского казачьего корпуса им. Г.Н.Трошева.</w:t>
      </w:r>
    </w:p>
    <w:p w14:paraId="6D6DC905" w14:textId="77777777" w:rsidR="000D2D88" w:rsidRPr="000D2D88" w:rsidRDefault="000D2D88" w:rsidP="000D2D88">
      <w:pPr>
        <w:spacing w:before="100" w:beforeAutospacing="1" w:after="10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Именно образ Героя России, генерала Геннадия Трошева, чье имя носит казачий корпус, стал примером для подражания тысяч мальчишек. Об этой выдающейся личности в истории кубанского казачества, и его роли в воспитательном процессе живо и ярко рассказал офицер-воспитатель кадетского образовательного учреждения.</w:t>
      </w:r>
    </w:p>
    <w:p w14:paraId="27C5C3D2" w14:textId="77777777" w:rsidR="000D2D88" w:rsidRPr="000D2D88" w:rsidRDefault="000D2D88" w:rsidP="000D2D88">
      <w:pPr>
        <w:spacing w:before="100" w:beforeAutospacing="1" w:after="10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 xml:space="preserve">«Учащиеся - это будущее нашей малой родины, и они должны знать историю, культуру и традиции кубанского казачества», так начала свой доклад </w:t>
      </w:r>
      <w:proofErr w:type="gramStart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зам.директора</w:t>
      </w:r>
      <w:proofErr w:type="gramEnd"/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 xml:space="preserve"> 21 школы из хутора Лосево Татьяна Смирнова. В своем выступлении она осветила опыт работы с казачьими классами, сложившейся практике за 3 года.</w:t>
      </w:r>
    </w:p>
    <w:p w14:paraId="68F624A1" w14:textId="77777777" w:rsidR="000D2D88" w:rsidRPr="000D2D88" w:rsidRDefault="000D2D88" w:rsidP="000D2D88">
      <w:pPr>
        <w:spacing w:before="100" w:beforeAutospacing="1" w:after="10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lastRenderedPageBreak/>
        <w:t>Под занавес конференции пришлось выступление зам. войскового атамана К.Перенижко об основных этапах и итогах возрождения казачества на Кубани. Этот период охватывает события от организации студенческого кружка до официального признания казачьей Рады. Он также раскрыл цели и задачи на ближайшую перспективу кубанского казачества.</w:t>
      </w:r>
    </w:p>
    <w:p w14:paraId="45E8306B" w14:textId="77777777" w:rsidR="000D2D88" w:rsidRPr="000D2D88" w:rsidRDefault="000D2D88" w:rsidP="000D2D88">
      <w:pPr>
        <w:spacing w:before="100" w:beforeAutospacing="1" w:after="10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t>Участники конференции, заслушав и обсудив доклады и сообщения о становлении кубанского казачества на протяжении 150 лет, о роли Кубанского казачьего войска в защите рубежей России, о традиционной культуре и истории казачьего образования, о значении выдающихся личностей в духовно-нравственном и военно-патриотическом воспитании молодежи, решили:</w:t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  <w:t>1. Атаманам казачьих обществ мобилизовать казачий потенциал на патриотическое воспитание молодёжи, базирующееся на казачьих ценностях и казачьих традициях. Работа с молодежью должна стать приоритетным направлением. Использовать все многообразие форм и методов работы в этой области.</w:t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  <w:t>2. Атаманам совместно с отделами образования привлекать к работе с казачатами педагогов, историков, опытных наставников, ветеранов казачьего движения, которые должны донести значимость истории образования ККВ, этапы его развития с 1860 года.</w:t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  <w:t>3. Казачьим наставникам совместно с педагогическими коллективами образовательных учреждений в  укреплении патриотических ценностей и традиций в сознании молодежи опираться на роль выдающихся личностей в истории кубанского казачества от 19 века до наших дней.</w:t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  <w:t>4. Атаманам совместно с отделами образования продолжить работу в плане открытия казачьих групп, классов и школ на территории районных казачьих обществ Кавказского отдела, опираясь на современную педагогическую деятельность, широко представленную на Кубани.</w:t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  <w:t>5. К освещению казачьих мероприятий, несущих основы духовно-нравственного воспитания молодежи, привлекать все разнообразие средств массовой информации – от прессы до Интернета.</w:t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</w:r>
      <w:r w:rsidRPr="000D2D88"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  <w:br/>
        <w:t>6. Признать полезность проведения семинаров и конференций на выбранную тематику и сделать их ежегодными.</w:t>
      </w:r>
    </w:p>
    <w:p w14:paraId="77966357" w14:textId="77777777" w:rsidR="000D2D88" w:rsidRPr="000D2D88" w:rsidRDefault="000D2D88" w:rsidP="000D2D88">
      <w:pPr>
        <w:spacing w:beforeAutospacing="1" w:after="0" w:afterAutospacing="1"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1"/>
          <w:szCs w:val="21"/>
          <w:lang w:eastAsia="ru-RU"/>
        </w:rPr>
      </w:pPr>
    </w:p>
    <w:p w14:paraId="3BB8D910" w14:textId="77777777" w:rsidR="00453580" w:rsidRDefault="00453580"/>
    <w:sectPr w:rsidR="0045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60"/>
    <w:rsid w:val="000D2D88"/>
    <w:rsid w:val="00453580"/>
    <w:rsid w:val="006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0514"/>
  <w15:chartTrackingRefBased/>
  <w15:docId w15:val="{FBEA078F-1A98-4545-AC6B-535CE747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2020-12-22T16:41:00Z</dcterms:created>
  <dcterms:modified xsi:type="dcterms:W3CDTF">2020-12-22T16:41:00Z</dcterms:modified>
</cp:coreProperties>
</file>