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54" w:rsidRPr="004A6F40" w:rsidRDefault="00935C58">
      <w:pPr>
        <w:rPr>
          <w:b/>
          <w:sz w:val="28"/>
          <w:szCs w:val="28"/>
        </w:rPr>
      </w:pPr>
      <w:r w:rsidRPr="004A6F40">
        <w:rPr>
          <w:b/>
          <w:sz w:val="28"/>
          <w:szCs w:val="28"/>
        </w:rPr>
        <w:t>Занятие №12</w:t>
      </w:r>
      <w:r w:rsidR="004A6F40" w:rsidRPr="004A6F40">
        <w:rPr>
          <w:b/>
          <w:sz w:val="28"/>
          <w:szCs w:val="28"/>
        </w:rPr>
        <w:t xml:space="preserve"> «Народные казачьи игры и забавы как элементы физического воспитания.»</w:t>
      </w:r>
    </w:p>
    <w:p w:rsidR="004A6F40" w:rsidRP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t xml:space="preserve">Современный этап общественно-исторического развития Российской Федерации характеризуется законодательным утверждением процесса возрождения казачества (Т.В. Таболина, 1997). Наметилась устойчивая тенденция к возрождению традиционных культур казачьих </w:t>
      </w:r>
      <w:proofErr w:type="spellStart"/>
      <w:r w:rsidRPr="004A6F40">
        <w:rPr>
          <w:sz w:val="28"/>
          <w:szCs w:val="28"/>
        </w:rPr>
        <w:t>субэтносов</w:t>
      </w:r>
      <w:proofErr w:type="spellEnd"/>
      <w:r w:rsidRPr="004A6F40">
        <w:rPr>
          <w:sz w:val="28"/>
          <w:szCs w:val="28"/>
        </w:rPr>
        <w:t xml:space="preserve"> (А.И. Козлов, 1995; Бондарь, 2005).</w:t>
      </w:r>
    </w:p>
    <w:p w:rsidR="004A6F40" w:rsidRP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t>В вооруженных силах царской России конца XIX века казачьи войска считались самыми подготовительными боевыми частями российской армии. Казачья конница, являясь иррегулярным образованием, по своим профессиональным качествам не уступала регулярным кавалерийским полкам, а то и превосходила их.</w:t>
      </w:r>
    </w:p>
    <w:p w:rsidR="004A6F40" w:rsidRP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t>Этому способствовала целостная система обучения и воспитания казаков, позволявшая к моменту зачисления казака на службу предоставлять качественный материал. Казак являлся «</w:t>
      </w:r>
      <w:proofErr w:type="spellStart"/>
      <w:r w:rsidRPr="004A6F40">
        <w:rPr>
          <w:sz w:val="28"/>
          <w:szCs w:val="28"/>
        </w:rPr>
        <w:t>конно</w:t>
      </w:r>
      <w:proofErr w:type="spellEnd"/>
      <w:r w:rsidRPr="004A6F40">
        <w:rPr>
          <w:sz w:val="28"/>
          <w:szCs w:val="28"/>
        </w:rPr>
        <w:t>, при оружии», обладая уже необходимыми моральными и боевыми качествами, полученными в процессе становления казака – воина.</w:t>
      </w:r>
    </w:p>
    <w:p w:rsidR="004A6F40" w:rsidRP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t>Еще с малых лет казачатам вкладывался смысл их высокого предназначения, находивший свое продолжение в опеке местных властей и в специфическом образовании, сочетавшим в себе элементы военной и гражданской школы. Атаманы отделов, станиц не только интересовались делами подрастающего поколения, но и отвечали за положение дел, касающихся воспитания и образования казаков.</w:t>
      </w:r>
    </w:p>
    <w:p w:rsidR="004A6F40" w:rsidRP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t>По достижении призывного возраста с казаками подготовительного разряда проводились сборы в военно-полевых лагерях. Для этой цели от регулярных частей армии откомандировались наиболее подготовительные офицеры, способные на высоком профессиональном уровне проводить занятия. Учебная программа сборов была максимально приближена к тому, чему обучали в действующей армии. Казаки изучали воинские уставы и наставления, обучались стрельбе из огнестрельного оружия, учились действовать сообща в конной сотне и т.д. Как правило, по окончании сборов проводилось полковое учение, и объявлялся строевой смотр.</w:t>
      </w:r>
    </w:p>
    <w:p w:rsidR="004A6F40" w:rsidRP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t>Таким образом, призывной контингент казачьих войск разительно отличался от призывников остальной части России. Воспитание в духе фанатичной верности своему долгу и присяге, сословной замкнутости, основанной на высокой дисциплине, соблюдении армейских субординаций на всех уровнях казачьей иерархии, позволяло казачьим формированиям проявлять чудеса храбрости и отваги во многих войнах, которые пришлось вести России.</w:t>
      </w:r>
    </w:p>
    <w:p w:rsidR="004A6F40" w:rsidRPr="004A6F40" w:rsidRDefault="004A6F40" w:rsidP="004A6F40">
      <w:pPr>
        <w:rPr>
          <w:sz w:val="28"/>
          <w:szCs w:val="28"/>
        </w:rPr>
      </w:pPr>
    </w:p>
    <w:p w:rsidR="004A6F40" w:rsidRP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t>В общегосударственном масштабе создаются средние специализированные учебные заведения казачества (кадетские корпуса, казачьи школы и гимназии).</w:t>
      </w:r>
    </w:p>
    <w:p w:rsidR="004A6F40" w:rsidRP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t>Между тем в современной истории, теории и методике физической культуры и практически отсутствуют исследования самобытных систем физического воспитания российских казачеств.</w:t>
      </w:r>
    </w:p>
    <w:p w:rsidR="004A6F40" w:rsidRP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t xml:space="preserve">Осуществляемая в рамках казачьих образовательных учреждений физическая подготовка учащихся имеет ряд недостатков, негативно отражающихся на качестве решаемых педагогических задач. Существующее унифицированное </w:t>
      </w:r>
      <w:proofErr w:type="spellStart"/>
      <w:r w:rsidRPr="004A6F40">
        <w:rPr>
          <w:sz w:val="28"/>
          <w:szCs w:val="28"/>
        </w:rPr>
        <w:t>программно</w:t>
      </w:r>
      <w:proofErr w:type="spellEnd"/>
      <w:r w:rsidRPr="004A6F40">
        <w:rPr>
          <w:sz w:val="28"/>
          <w:szCs w:val="28"/>
        </w:rPr>
        <w:t xml:space="preserve"> – методическое обеспечение не позволяет в полной мере учитывать региональные условия, этнические, социокультурные и другие традиции казачества. Отсутствуют научно-обоснованные методики организации процесса физического воспитания и военно-прикладной подготовки казачьей молодежи. Все это может оказаться фактором, ограничивающим процесс </w:t>
      </w:r>
      <w:proofErr w:type="gramStart"/>
      <w:r w:rsidRPr="004A6F40">
        <w:rPr>
          <w:sz w:val="28"/>
          <w:szCs w:val="28"/>
        </w:rPr>
        <w:t>физического совершенствования</w:t>
      </w:r>
      <w:proofErr w:type="gramEnd"/>
      <w:r w:rsidRPr="004A6F40">
        <w:rPr>
          <w:sz w:val="28"/>
          <w:szCs w:val="28"/>
        </w:rPr>
        <w:t xml:space="preserve"> подрастающего поколения казаков.</w:t>
      </w:r>
    </w:p>
    <w:p w:rsidR="004A6F40" w:rsidRP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t xml:space="preserve">В многообразии средств физического воспитания детей школьного возраста особое место, в виду своей универсальности, доступности и эмоциональности, занимают народные подвижные игры. Несмотря на отмечаемую многими специалистами (Л.В. </w:t>
      </w:r>
      <w:proofErr w:type="spellStart"/>
      <w:r w:rsidRPr="004A6F40">
        <w:rPr>
          <w:sz w:val="28"/>
          <w:szCs w:val="28"/>
        </w:rPr>
        <w:t>Белеева</w:t>
      </w:r>
      <w:proofErr w:type="spellEnd"/>
      <w:r w:rsidRPr="004A6F40">
        <w:rPr>
          <w:sz w:val="28"/>
          <w:szCs w:val="28"/>
        </w:rPr>
        <w:t>, В.М. Григорьев, 2009 и др.) педагогическую ценность народных игр, они до настоящего времени не нашли должного применения в практике физической подготовки старших школьников, обучающихся в средних казачьих военно-учебных заведениях. Кроме того, до настоящего времени не разработан комплексный подход к оценке подвижных игр, учитывающий не только их организационно-педагогические признаки, но и параметры предъявляемых нагрузок.</w:t>
      </w:r>
    </w:p>
    <w:p w:rsidR="004A6F40" w:rsidRP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t>В связи с этим физическое воспитании детей и молодежи казачества целесообразно ориентировать на активное использование в практической деятельности элементов исторически сложившейся казачьей системы физического воспитания, что будет способствовать культивации среди занимающихся патриотических идей.</w:t>
      </w:r>
    </w:p>
    <w:p w:rsidR="004A6F40" w:rsidRPr="004A6F40" w:rsidRDefault="004A6F40" w:rsidP="004A6F40">
      <w:pPr>
        <w:rPr>
          <w:sz w:val="28"/>
          <w:szCs w:val="28"/>
        </w:rPr>
      </w:pPr>
    </w:p>
    <w:p w:rsid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t>Весьма актуальной представляется проблема разработки педагогических технологий использования самобытных казачьих подвижных игр в учебном процессе образовательных учреждений терского казачества.</w:t>
      </w:r>
    </w:p>
    <w:p w:rsidR="004A6F40" w:rsidRDefault="004A6F40" w:rsidP="004A6F40">
      <w:pPr>
        <w:rPr>
          <w:sz w:val="28"/>
          <w:szCs w:val="28"/>
        </w:rPr>
      </w:pPr>
      <w:r w:rsidRPr="004A6F40">
        <w:rPr>
          <w:sz w:val="28"/>
          <w:szCs w:val="28"/>
        </w:rPr>
        <w:lastRenderedPageBreak/>
        <w:t>Это позволит включать казачьи игры в содержание занятий по физическому воспитанию, не снижая эффективности решения поставленных педагогических задач.</w:t>
      </w:r>
    </w:p>
    <w:p w:rsidR="004A6F40" w:rsidRPr="004A6F40" w:rsidRDefault="004A6F40" w:rsidP="004A6F40">
      <w:pPr>
        <w:rPr>
          <w:b/>
          <w:sz w:val="28"/>
          <w:szCs w:val="28"/>
        </w:rPr>
      </w:pPr>
      <w:r w:rsidRPr="004A6F40">
        <w:rPr>
          <w:b/>
          <w:sz w:val="28"/>
          <w:szCs w:val="28"/>
        </w:rPr>
        <w:t>ИГРЫ:</w:t>
      </w:r>
    </w:p>
    <w:p w:rsidR="004A6F40" w:rsidRP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 xml:space="preserve">«Цапля и лягушки», </w:t>
      </w:r>
    </w:p>
    <w:p w:rsidR="004A6F40" w:rsidRP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>«</w:t>
      </w:r>
      <w:proofErr w:type="spellStart"/>
      <w:r w:rsidRPr="004A6F40">
        <w:rPr>
          <w:sz w:val="28"/>
          <w:szCs w:val="28"/>
        </w:rPr>
        <w:t>Жгутчикбез</w:t>
      </w:r>
      <w:proofErr w:type="spellEnd"/>
      <w:r w:rsidRPr="004A6F40">
        <w:rPr>
          <w:sz w:val="28"/>
          <w:szCs w:val="28"/>
        </w:rPr>
        <w:t xml:space="preserve"> жгута», </w:t>
      </w:r>
    </w:p>
    <w:p w:rsidR="004A6F40" w:rsidRP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 xml:space="preserve">«Казачьи бои», </w:t>
      </w:r>
    </w:p>
    <w:p w:rsidR="004A6F40" w:rsidRP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 xml:space="preserve">«Метко в </w:t>
      </w:r>
      <w:r w:rsidRPr="004A6F40">
        <w:rPr>
          <w:sz w:val="28"/>
          <w:szCs w:val="28"/>
        </w:rPr>
        <w:t xml:space="preserve">цель», </w:t>
      </w:r>
    </w:p>
    <w:p w:rsidR="004A6F40" w:rsidRP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 xml:space="preserve">«Ляпка», </w:t>
      </w:r>
    </w:p>
    <w:p w:rsidR="004A6F40" w:rsidRP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 xml:space="preserve">«У медведя во бору», </w:t>
      </w:r>
    </w:p>
    <w:p w:rsidR="004A6F40" w:rsidRP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 xml:space="preserve">«Охотники и утки», </w:t>
      </w:r>
    </w:p>
    <w:p w:rsidR="004A6F40" w:rsidRP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>«Чур у дерева!»,</w:t>
      </w:r>
    </w:p>
    <w:p w:rsidR="004A6F40" w:rsidRP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>«Казаки и разбойники»,</w:t>
      </w:r>
    </w:p>
    <w:p w:rsidR="004A6F40" w:rsidRP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 xml:space="preserve">«Перетягивание», </w:t>
      </w:r>
    </w:p>
    <w:p w:rsidR="004A6F40" w:rsidRP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>«Свинка»,</w:t>
      </w:r>
    </w:p>
    <w:p w:rsid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>Игры с коновязью.</w:t>
      </w:r>
    </w:p>
    <w:p w:rsid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 xml:space="preserve">«Охотники и </w:t>
      </w:r>
      <w:proofErr w:type="spellStart"/>
      <w:r w:rsidRPr="004A6F40">
        <w:rPr>
          <w:sz w:val="28"/>
          <w:szCs w:val="28"/>
        </w:rPr>
        <w:t>утки»</w:t>
      </w:r>
      <w:proofErr w:type="spellEnd"/>
    </w:p>
    <w:p w:rsid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 xml:space="preserve">«Казачата, вперёд!», </w:t>
      </w:r>
    </w:p>
    <w:p w:rsid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 xml:space="preserve">«Конники спортсмены», </w:t>
      </w:r>
    </w:p>
    <w:p w:rsid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>«Волк во</w:t>
      </w:r>
      <w:r>
        <w:rPr>
          <w:sz w:val="28"/>
          <w:szCs w:val="28"/>
        </w:rPr>
        <w:t xml:space="preserve"> </w:t>
      </w:r>
      <w:r w:rsidRPr="004A6F40">
        <w:rPr>
          <w:sz w:val="28"/>
          <w:szCs w:val="28"/>
        </w:rPr>
        <w:t xml:space="preserve">рву», </w:t>
      </w:r>
    </w:p>
    <w:p w:rsid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>«</w:t>
      </w:r>
      <w:proofErr w:type="spellStart"/>
      <w:r w:rsidRPr="004A6F40">
        <w:rPr>
          <w:sz w:val="28"/>
          <w:szCs w:val="28"/>
        </w:rPr>
        <w:t>Чехарда»,</w:t>
      </w:r>
      <w:proofErr w:type="spellEnd"/>
    </w:p>
    <w:p w:rsid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 xml:space="preserve">«Пятнашки», </w:t>
      </w:r>
    </w:p>
    <w:p w:rsid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 xml:space="preserve">«Печки», </w:t>
      </w:r>
    </w:p>
    <w:p w:rsid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>«</w:t>
      </w:r>
      <w:proofErr w:type="spellStart"/>
      <w:r w:rsidRPr="004A6F40">
        <w:rPr>
          <w:sz w:val="28"/>
          <w:szCs w:val="28"/>
        </w:rPr>
        <w:t>Хваталки</w:t>
      </w:r>
      <w:proofErr w:type="spellEnd"/>
      <w:r w:rsidRPr="004A6F40">
        <w:rPr>
          <w:sz w:val="28"/>
          <w:szCs w:val="28"/>
        </w:rPr>
        <w:t xml:space="preserve">», </w:t>
      </w:r>
    </w:p>
    <w:p w:rsidR="004A6F40" w:rsidRDefault="004A6F40" w:rsidP="004A6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F40">
        <w:rPr>
          <w:sz w:val="28"/>
          <w:szCs w:val="28"/>
        </w:rPr>
        <w:t>«Чиж в кругу»</w:t>
      </w:r>
    </w:p>
    <w:p w:rsidR="004A6F40" w:rsidRDefault="004A6F40" w:rsidP="004A6F40">
      <w:pPr>
        <w:pStyle w:val="a3"/>
        <w:rPr>
          <w:sz w:val="28"/>
          <w:szCs w:val="28"/>
        </w:rPr>
      </w:pPr>
    </w:p>
    <w:p w:rsidR="004A6F40" w:rsidRDefault="004A6F40" w:rsidP="004A6F40">
      <w:pPr>
        <w:pStyle w:val="a3"/>
        <w:rPr>
          <w:sz w:val="28"/>
          <w:szCs w:val="28"/>
        </w:rPr>
      </w:pPr>
    </w:p>
    <w:p w:rsidR="004A6F40" w:rsidRPr="004A6F40" w:rsidRDefault="004A6F40" w:rsidP="004A6F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Педагог-психолог6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</w:t>
      </w:r>
      <w:bookmarkStart w:id="0" w:name="_GoBack"/>
      <w:bookmarkEnd w:id="0"/>
    </w:p>
    <w:sectPr w:rsidR="004A6F40" w:rsidRPr="004A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73BC4"/>
    <w:multiLevelType w:val="hybridMultilevel"/>
    <w:tmpl w:val="FE9C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C9"/>
    <w:rsid w:val="004A6F40"/>
    <w:rsid w:val="00876FC9"/>
    <w:rsid w:val="00935C58"/>
    <w:rsid w:val="00F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4D98-F87F-4EC2-A38F-EF312178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2020-12-20T08:37:00Z</dcterms:created>
  <dcterms:modified xsi:type="dcterms:W3CDTF">2020-12-20T08:53:00Z</dcterms:modified>
</cp:coreProperties>
</file>